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8547"/>
      </w:tblGrid>
      <w:tr w:rsidR="00BC0F78" w:rsidRPr="00CB351C" w14:paraId="6F1841C5" w14:textId="77777777" w:rsidTr="00470740">
        <w:trPr>
          <w:trHeight w:val="850"/>
        </w:trPr>
        <w:tc>
          <w:tcPr>
            <w:tcW w:w="566" w:type="pct"/>
            <w:vAlign w:val="center"/>
            <w:hideMark/>
          </w:tcPr>
          <w:p w14:paraId="7052F8DC" w14:textId="77777777" w:rsidR="00BC0F78" w:rsidRPr="00CB351C" w:rsidRDefault="00BC0F78" w:rsidP="00470740">
            <w:pPr>
              <w:jc w:val="center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0BDDC015" wp14:editId="4338677E">
                  <wp:extent cx="514350" cy="5143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14:paraId="4619A13C" w14:textId="4E0B731E" w:rsidR="00BC0F78" w:rsidRPr="00CB351C" w:rsidRDefault="00530088" w:rsidP="004707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KASTAMONU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 ÜNİVERSİTESİ</w:t>
            </w:r>
          </w:p>
          <w:p w14:paraId="604B4C78" w14:textId="7804DF4F" w:rsidR="00687D97" w:rsidRPr="00CB351C" w:rsidRDefault="008C6FEA" w:rsidP="0047074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</w:t>
            </w:r>
            <w:r w:rsidR="00530088">
              <w:rPr>
                <w:rFonts w:ascii="Times New Roman" w:hAnsi="Times New Roman" w:cs="Times New Roman"/>
                <w:b/>
              </w:rPr>
              <w:t>İŞLETMEDE MESLEKİ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14:paraId="43C170FC" w14:textId="77777777" w:rsidR="00BC0F78" w:rsidRPr="00CB351C" w:rsidRDefault="00BC0F78" w:rsidP="0047074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14:paraId="10A014AF" w14:textId="77777777" w:rsidR="00BC0F78" w:rsidRPr="00CB351C" w:rsidRDefault="00BC0F78" w:rsidP="001A3502">
      <w:pPr>
        <w:pStyle w:val="Default"/>
        <w:ind w:firstLine="708"/>
        <w:jc w:val="both"/>
        <w:rPr>
          <w:sz w:val="22"/>
          <w:szCs w:val="22"/>
        </w:rPr>
      </w:pPr>
    </w:p>
    <w:p w14:paraId="684649A0" w14:textId="4F6B9439" w:rsidR="00310B6A" w:rsidRPr="00CB351C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530088">
        <w:rPr>
          <w:sz w:val="22"/>
          <w:szCs w:val="22"/>
        </w:rPr>
        <w:t xml:space="preserve">Kastamonu </w:t>
      </w:r>
      <w:r w:rsidRPr="00CB351C">
        <w:rPr>
          <w:sz w:val="22"/>
          <w:szCs w:val="22"/>
        </w:rPr>
        <w:t xml:space="preserve">Üniversitesi </w:t>
      </w:r>
      <w:r w:rsidR="00530088">
        <w:rPr>
          <w:sz w:val="22"/>
          <w:szCs w:val="22"/>
        </w:rPr>
        <w:t>“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>de Mesleki Eğitim</w:t>
      </w:r>
      <w:r w:rsidR="00530088">
        <w:rPr>
          <w:sz w:val="22"/>
          <w:szCs w:val="22"/>
        </w:rPr>
        <w:t xml:space="preserve"> </w:t>
      </w:r>
      <w:r w:rsidR="008C6FEA" w:rsidRPr="00CB351C">
        <w:rPr>
          <w:sz w:val="22"/>
          <w:szCs w:val="22"/>
        </w:rPr>
        <w:t>Dersi</w:t>
      </w:r>
      <w:r w:rsidR="00530088">
        <w:rPr>
          <w:sz w:val="22"/>
          <w:szCs w:val="22"/>
        </w:rPr>
        <w:t>”</w:t>
      </w:r>
      <w:r w:rsidR="008C6FEA" w:rsidRPr="00CB351C">
        <w:rPr>
          <w:sz w:val="22"/>
          <w:szCs w:val="22"/>
        </w:rPr>
        <w:t xml:space="preserve">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14:paraId="6B8366F9" w14:textId="77777777" w:rsidR="001B65DE" w:rsidRPr="00CB351C" w:rsidRDefault="001B65DE" w:rsidP="001A3502">
      <w:pPr>
        <w:pStyle w:val="Default"/>
        <w:ind w:firstLine="708"/>
        <w:jc w:val="both"/>
        <w:rPr>
          <w:sz w:val="22"/>
          <w:szCs w:val="22"/>
        </w:rPr>
      </w:pPr>
    </w:p>
    <w:p w14:paraId="2B125538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14:paraId="795C1B6F" w14:textId="2F246D17" w:rsidR="00310B6A" w:rsidRPr="00CB351C" w:rsidRDefault="00530088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Kastamonu</w:t>
      </w:r>
      <w:r w:rsidR="00310B6A" w:rsidRPr="00CB351C">
        <w:rPr>
          <w:sz w:val="22"/>
          <w:szCs w:val="22"/>
        </w:rPr>
        <w:t xml:space="preserve"> Üniversitesi </w:t>
      </w:r>
      <w:r w:rsidR="00CB351C">
        <w:rPr>
          <w:sz w:val="22"/>
          <w:szCs w:val="22"/>
        </w:rPr>
        <w:t xml:space="preserve">belirli bir mesleğe ilişkin lisans düzeyinde eğitim-öğretim faaliyeti yürütülen programlarda </w:t>
      </w:r>
      <w:r w:rsidR="00310B6A"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="00310B6A"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r>
        <w:rPr>
          <w:sz w:val="22"/>
          <w:szCs w:val="22"/>
        </w:rPr>
        <w:t>L</w:t>
      </w:r>
      <w:r w:rsidR="00CB351C">
        <w:rPr>
          <w:sz w:val="22"/>
          <w:szCs w:val="22"/>
        </w:rPr>
        <w:t xml:space="preserve">isans </w:t>
      </w:r>
      <w:r w:rsidR="00AC2BA7">
        <w:rPr>
          <w:sz w:val="22"/>
          <w:szCs w:val="22"/>
        </w:rPr>
        <w:t>için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>
        <w:rPr>
          <w:sz w:val="22"/>
          <w:szCs w:val="22"/>
        </w:rPr>
        <w:t xml:space="preserve">nı </w:t>
      </w:r>
      <w:r w:rsidR="00A4601B" w:rsidRPr="00CB351C">
        <w:rPr>
          <w:sz w:val="22"/>
          <w:szCs w:val="22"/>
        </w:rPr>
        <w:t>yapmak</w:t>
      </w:r>
      <w:r w:rsidR="00310B6A" w:rsidRPr="00CB351C">
        <w:rPr>
          <w:sz w:val="22"/>
          <w:szCs w:val="22"/>
        </w:rPr>
        <w:t xml:space="preserve"> zorundadır. </w:t>
      </w:r>
    </w:p>
    <w:p w14:paraId="5D956636" w14:textId="163969FB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530088">
        <w:rPr>
          <w:sz w:val="22"/>
          <w:szCs w:val="22"/>
        </w:rPr>
        <w:t>Kastamonu</w:t>
      </w:r>
      <w:r w:rsidR="00530088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 xml:space="preserve">Üniversitesi </w:t>
      </w:r>
      <w:r w:rsidR="00530088">
        <w:rPr>
          <w:sz w:val="22"/>
          <w:szCs w:val="22"/>
        </w:rPr>
        <w:t xml:space="preserve">İşletmede Mesleki Eğitim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 w:rsidR="00530088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14:paraId="477F0D3E" w14:textId="77777777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14:paraId="702BE561" w14:textId="0D6436A6" w:rsidR="00310B6A" w:rsidRPr="00CB351C" w:rsidRDefault="00530088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İşletmede Mesleki Eğitim</w:t>
      </w:r>
      <w:r w:rsidR="00DE2BDB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 w:rsidR="00DE2BDB"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 w:rsidR="00DE2BDB"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 w:rsidR="00DE2BDB"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>
        <w:rPr>
          <w:sz w:val="22"/>
          <w:szCs w:val="22"/>
        </w:rPr>
        <w:t xml:space="preserve">İşletmede Mesleki Eğitim </w:t>
      </w:r>
      <w:r w:rsidR="00243AAC" w:rsidRPr="00CB351C">
        <w:rPr>
          <w:sz w:val="22"/>
          <w:szCs w:val="22"/>
        </w:rPr>
        <w:t xml:space="preserve">Komisyonuna </w:t>
      </w:r>
      <w:r w:rsidR="00DE2BDB">
        <w:rPr>
          <w:sz w:val="22"/>
          <w:szCs w:val="22"/>
        </w:rPr>
        <w:t>ulaştırılmasını takip eder.</w:t>
      </w:r>
    </w:p>
    <w:p w14:paraId="5F0B9C9E" w14:textId="44CF1B22" w:rsidR="00310B6A" w:rsidRPr="00CB351C" w:rsidRDefault="00530088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 w:rsidR="00DE2BDB"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 w:rsidR="00DE2BDB"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 w:rsidR="00DE2BDB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14:paraId="5B844645" w14:textId="77777777"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14:paraId="7C889BFB" w14:textId="4D7E0088" w:rsidR="00310B6A" w:rsidRPr="00CB351C" w:rsidRDefault="00530088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14:paraId="1FD4E100" w14:textId="4C85AEB0" w:rsidR="00310B6A" w:rsidRPr="00CB351C" w:rsidRDefault="00530088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 w:rsidR="00DE2BDB"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14:paraId="6135BAA1" w14:textId="77777777" w:rsidR="00275DE4" w:rsidRDefault="00530088" w:rsidP="0034282C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275DE4">
        <w:rPr>
          <w:sz w:val="22"/>
          <w:szCs w:val="22"/>
        </w:rPr>
        <w:t xml:space="preserve">İşletmede Mesleki Eğitim </w:t>
      </w:r>
      <w:r w:rsidR="00310B6A" w:rsidRPr="00275DE4">
        <w:rPr>
          <w:sz w:val="22"/>
          <w:szCs w:val="22"/>
        </w:rPr>
        <w:t>sonrasında veya bitiminden önce eğitimden ayrılmaları durumund</w:t>
      </w:r>
      <w:r w:rsidR="001A3502" w:rsidRPr="00275DE4">
        <w:rPr>
          <w:sz w:val="22"/>
          <w:szCs w:val="22"/>
        </w:rPr>
        <w:t xml:space="preserve">a da geçerli olmak üzere, </w:t>
      </w:r>
      <w:r w:rsidR="00310B6A" w:rsidRPr="00275DE4">
        <w:rPr>
          <w:sz w:val="22"/>
          <w:szCs w:val="22"/>
        </w:rPr>
        <w:t>iş</w:t>
      </w:r>
      <w:r w:rsidR="00243AAC" w:rsidRPr="00275DE4">
        <w:rPr>
          <w:sz w:val="22"/>
          <w:szCs w:val="22"/>
        </w:rPr>
        <w:t>letme</w:t>
      </w:r>
      <w:r w:rsidR="00310B6A" w:rsidRPr="00275DE4">
        <w:rPr>
          <w:sz w:val="22"/>
          <w:szCs w:val="22"/>
        </w:rPr>
        <w:t xml:space="preserve"> ile r</w:t>
      </w:r>
      <w:r w:rsidR="00243AAC" w:rsidRPr="00275DE4">
        <w:rPr>
          <w:sz w:val="22"/>
          <w:szCs w:val="22"/>
        </w:rPr>
        <w:t xml:space="preserve">ekabet içinde olan kuruluşlarla </w:t>
      </w:r>
      <w:r w:rsidR="00310B6A" w:rsidRPr="00275DE4">
        <w:rPr>
          <w:sz w:val="22"/>
          <w:szCs w:val="22"/>
        </w:rPr>
        <w:t>aynı konularda araştırma, geliştirme ve her türlü haksız rekabet ortamı yaratacak ç</w:t>
      </w:r>
      <w:r w:rsidR="005D5D5C" w:rsidRPr="00275DE4">
        <w:rPr>
          <w:sz w:val="22"/>
          <w:szCs w:val="22"/>
        </w:rPr>
        <w:t>alışmalarda bulunmayacaklarını,</w:t>
      </w:r>
      <w:r w:rsidR="00275DE4" w:rsidRPr="00275DE4">
        <w:rPr>
          <w:sz w:val="22"/>
          <w:szCs w:val="22"/>
        </w:rPr>
        <w:t xml:space="preserve"> </w:t>
      </w:r>
    </w:p>
    <w:p w14:paraId="59983E18" w14:textId="1A8E53E8" w:rsidR="00310B6A" w:rsidRPr="00275DE4" w:rsidRDefault="00076F9F" w:rsidP="00275DE4">
      <w:pPr>
        <w:pStyle w:val="Default"/>
        <w:ind w:left="426"/>
        <w:jc w:val="both"/>
        <w:rPr>
          <w:sz w:val="22"/>
          <w:szCs w:val="22"/>
        </w:rPr>
      </w:pPr>
      <w:proofErr w:type="gramStart"/>
      <w:r w:rsidRPr="00275DE4">
        <w:rPr>
          <w:sz w:val="22"/>
          <w:szCs w:val="22"/>
        </w:rPr>
        <w:t>kabul</w:t>
      </w:r>
      <w:proofErr w:type="gramEnd"/>
      <w:r w:rsidRPr="00275DE4">
        <w:rPr>
          <w:sz w:val="22"/>
          <w:szCs w:val="22"/>
        </w:rPr>
        <w:t xml:space="preserve"> ve beyan ederler.</w:t>
      </w:r>
    </w:p>
    <w:p w14:paraId="4092FC9B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61F190A3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14:paraId="0B469E40" w14:textId="77777777"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14:paraId="2F31B958" w14:textId="24B619F8" w:rsidR="005D5D5C" w:rsidRPr="00CB351C" w:rsidRDefault="00530088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İşletmede Mesleki Eğitim </w:t>
      </w:r>
      <w:r w:rsidR="00243AAC" w:rsidRPr="00CB351C">
        <w:rPr>
          <w:sz w:val="22"/>
          <w:szCs w:val="22"/>
        </w:rPr>
        <w:t xml:space="preserve">yapacak öğrencinin </w:t>
      </w:r>
      <w:r>
        <w:rPr>
          <w:sz w:val="22"/>
          <w:szCs w:val="22"/>
        </w:rPr>
        <w:t xml:space="preserve">İşletmede Mesleki Eğitim </w:t>
      </w:r>
      <w:r w:rsidR="00243AAC" w:rsidRPr="00CB351C">
        <w:rPr>
          <w:sz w:val="22"/>
          <w:szCs w:val="22"/>
        </w:rPr>
        <w:t xml:space="preserve">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14:paraId="21A0325F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14:paraId="19B932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14:paraId="70CD068C" w14:textId="77777777"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14:paraId="093190BB" w14:textId="77777777" w:rsidR="00891C3A" w:rsidRDefault="001A3502" w:rsidP="00891C3A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530088">
        <w:rPr>
          <w:sz w:val="22"/>
          <w:szCs w:val="22"/>
        </w:rPr>
        <w:t xml:space="preserve"> ve Bölümüne</w:t>
      </w:r>
      <w:r w:rsidRPr="00CB351C">
        <w:rPr>
          <w:sz w:val="22"/>
          <w:szCs w:val="22"/>
        </w:rPr>
        <w:t xml:space="preserve"> uygun, sağlık ve iş güvenliği açısından problem doğurmayacak işlerde ve gündüz mesaisinde görevlendirilmesini sağlar.</w:t>
      </w:r>
    </w:p>
    <w:p w14:paraId="23C6C8DA" w14:textId="0208B62E" w:rsidR="00410DDA" w:rsidRDefault="00410DDA" w:rsidP="00410DDA">
      <w:pPr>
        <w:pStyle w:val="GvdeMetni"/>
        <w:tabs>
          <w:tab w:val="left" w:pos="1532"/>
        </w:tabs>
        <w:kinsoku w:val="0"/>
        <w:overflowPunct w:val="0"/>
        <w:ind w:right="122"/>
        <w:jc w:val="both"/>
        <w:rPr>
          <w:sz w:val="22"/>
          <w:szCs w:val="22"/>
        </w:rPr>
      </w:pPr>
    </w:p>
    <w:p w14:paraId="51897424" w14:textId="5BF983C8"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14:paraId="2139774D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14:paraId="34A27FDE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14:paraId="591038A5" w14:textId="77777777"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14:paraId="5E59F957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14:paraId="3CBF71EC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1782331E" w14:textId="77777777"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14:paraId="78EFCB34" w14:textId="5A2970D9" w:rsidR="001B65DE" w:rsidRPr="00CB351C" w:rsidRDefault="00530088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İşletmede Mesleki Eğitim </w:t>
      </w:r>
      <w:r w:rsidR="001B65DE" w:rsidRPr="00CB351C">
        <w:rPr>
          <w:sz w:val="22"/>
          <w:szCs w:val="22"/>
        </w:rPr>
        <w:t>grubundan/gruplarından sorumludur.</w:t>
      </w:r>
    </w:p>
    <w:p w14:paraId="22538AC5" w14:textId="77777777"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İşletme ile kurum arasında koordinasyonu sağlar, işletmede görevlendirilen Eğitici Personel ile işbirliği içinde çalışır.</w:t>
      </w:r>
    </w:p>
    <w:p w14:paraId="79FF6B39" w14:textId="1BD45714" w:rsidR="00DE1B9F" w:rsidRPr="00CB351C" w:rsidRDefault="00530088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İşletmede Mesleki 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14:paraId="56C16ABC" w14:textId="225AE514" w:rsidR="00950D45" w:rsidRPr="00CB351C" w:rsidRDefault="00530088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İşletmede Mesleki Eğitim </w:t>
      </w:r>
      <w:r w:rsidR="00950D45" w:rsidRPr="00CB351C">
        <w:rPr>
          <w:sz w:val="22"/>
          <w:szCs w:val="22"/>
        </w:rPr>
        <w:t xml:space="preserve">sürecinde ve bitiminde </w:t>
      </w:r>
      <w:r>
        <w:rPr>
          <w:sz w:val="22"/>
          <w:szCs w:val="22"/>
        </w:rPr>
        <w:t xml:space="preserve">İşletmede Mesleki Eğitim </w:t>
      </w:r>
      <w:r w:rsidR="00950D45" w:rsidRPr="00CB351C">
        <w:rPr>
          <w:sz w:val="22"/>
          <w:szCs w:val="22"/>
        </w:rPr>
        <w:t xml:space="preserve">Dosyasının hazırlanması için öğrenciye gerekli rehberlik eder. </w:t>
      </w:r>
    </w:p>
    <w:p w14:paraId="5528800B" w14:textId="349E1D80" w:rsidR="001B65DE" w:rsidRPr="00CB351C" w:rsidRDefault="00530088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İşletmede Mesleki Eğitim </w:t>
      </w:r>
      <w:r w:rsidR="00950D45" w:rsidRPr="00CB351C">
        <w:rPr>
          <w:sz w:val="22"/>
          <w:szCs w:val="22"/>
        </w:rPr>
        <w:t>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="00950D45"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14:paraId="0DC5065B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5A919B29" w14:textId="6E432A9C"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>Bölüm</w:t>
      </w:r>
      <w:r w:rsidR="00530088">
        <w:rPr>
          <w:b/>
          <w:bCs/>
          <w:sz w:val="22"/>
          <w:szCs w:val="22"/>
        </w:rPr>
        <w:t xml:space="preserve"> </w:t>
      </w:r>
      <w:r w:rsidR="00530088" w:rsidRPr="00530088">
        <w:rPr>
          <w:b/>
          <w:sz w:val="22"/>
          <w:szCs w:val="22"/>
        </w:rPr>
        <w:t>İşletmede Mesleki Eğitim</w:t>
      </w:r>
      <w:r w:rsidR="0040518B" w:rsidRPr="00CB351C">
        <w:rPr>
          <w:b/>
          <w:bCs/>
          <w:sz w:val="22"/>
          <w:szCs w:val="22"/>
        </w:rPr>
        <w:t xml:space="preserve"> Komisyonun</w:t>
      </w:r>
      <w:r w:rsidR="006A2AD3">
        <w:rPr>
          <w:b/>
          <w:bCs/>
          <w:sz w:val="22"/>
          <w:szCs w:val="22"/>
        </w:rPr>
        <w:t>un</w:t>
      </w:r>
      <w:r w:rsidR="0040518B" w:rsidRPr="00CB351C">
        <w:rPr>
          <w:b/>
          <w:bCs/>
          <w:sz w:val="22"/>
          <w:szCs w:val="22"/>
        </w:rPr>
        <w:t xml:space="preserve"> Yükümlülükleri:</w:t>
      </w:r>
    </w:p>
    <w:p w14:paraId="1EFA6663" w14:textId="5CCFD924" w:rsidR="0040518B" w:rsidRPr="00CB351C" w:rsidRDefault="00530088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İşletmede Mesleki Eğitim </w:t>
      </w:r>
      <w:r w:rsidR="0040518B" w:rsidRPr="00CB351C">
        <w:rPr>
          <w:sz w:val="22"/>
          <w:szCs w:val="22"/>
        </w:rPr>
        <w:t xml:space="preserve">komisyonu, </w:t>
      </w:r>
      <w:r>
        <w:rPr>
          <w:sz w:val="22"/>
          <w:szCs w:val="22"/>
        </w:rPr>
        <w:t xml:space="preserve">İşletmede Mesleki Eğitim </w:t>
      </w:r>
      <w:r w:rsidR="0040518B" w:rsidRPr="00CB351C">
        <w:rPr>
          <w:sz w:val="22"/>
          <w:szCs w:val="22"/>
        </w:rPr>
        <w:t>yapılan program ve bölümlerdeki uygulamalı eğitim faaliyetlerinin planlanması, uygulanması ve koordinasyonundan sorumludur.</w:t>
      </w:r>
    </w:p>
    <w:p w14:paraId="0736AC6D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14:paraId="2099CB7C" w14:textId="77777777" w:rsidR="00275DE4" w:rsidRDefault="00275DE4" w:rsidP="0040518B">
      <w:pPr>
        <w:pStyle w:val="Default"/>
        <w:jc w:val="both"/>
        <w:rPr>
          <w:b/>
          <w:bCs/>
          <w:sz w:val="22"/>
          <w:szCs w:val="22"/>
        </w:rPr>
      </w:pPr>
    </w:p>
    <w:p w14:paraId="57817783" w14:textId="52ABB70A" w:rsidR="0040518B" w:rsidRPr="00275DE4" w:rsidRDefault="00275DE4" w:rsidP="0040518B">
      <w:pPr>
        <w:pStyle w:val="Default"/>
        <w:jc w:val="both"/>
        <w:rPr>
          <w:b/>
          <w:bCs/>
          <w:sz w:val="22"/>
          <w:szCs w:val="22"/>
        </w:rPr>
      </w:pPr>
      <w:r w:rsidRPr="00275DE4">
        <w:rPr>
          <w:b/>
          <w:bCs/>
          <w:sz w:val="22"/>
          <w:szCs w:val="22"/>
        </w:rPr>
        <w:t>F. Fakülte yükümlülükleri:</w:t>
      </w:r>
    </w:p>
    <w:p w14:paraId="38F24611" w14:textId="66863B89" w:rsidR="00275DE4" w:rsidRDefault="00275DE4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75DE4">
        <w:rPr>
          <w:sz w:val="22"/>
          <w:szCs w:val="22"/>
        </w:rPr>
        <w:t>17/06/2021 tarihli ve 31514 sayılı Resmi gazetede yayınlanan “Yükseköğretimde Uygulamalı Eğitimler Çerçeve</w:t>
      </w:r>
      <w:r w:rsidR="006A2AD3">
        <w:rPr>
          <w:sz w:val="22"/>
          <w:szCs w:val="22"/>
        </w:rPr>
        <w:t xml:space="preserve"> Yönetmeliği’nin Geçici Madde-1</w:t>
      </w:r>
      <w:r w:rsidRPr="00275DE4">
        <w:rPr>
          <w:sz w:val="22"/>
          <w:szCs w:val="22"/>
        </w:rPr>
        <w:t xml:space="preserve"> hükümlerine ve 10.02.2017 tarihinde yürürlüğe 3308 Sayılı Mesleki Eğitim Kanununa eklenen </w:t>
      </w:r>
      <w:r>
        <w:rPr>
          <w:sz w:val="22"/>
          <w:szCs w:val="22"/>
        </w:rPr>
        <w:t xml:space="preserve">geçici 12. Maddesine </w:t>
      </w:r>
      <w:r w:rsidRPr="00275DE4">
        <w:rPr>
          <w:sz w:val="22"/>
          <w:szCs w:val="22"/>
        </w:rPr>
        <w:t>uygun olarak ücret ödenir.</w:t>
      </w:r>
    </w:p>
    <w:p w14:paraId="71187645" w14:textId="77777777" w:rsidR="00275DE4" w:rsidRDefault="00275DE4" w:rsidP="00275DE4">
      <w:pPr>
        <w:pStyle w:val="Default"/>
        <w:jc w:val="both"/>
        <w:rPr>
          <w:b/>
          <w:bCs/>
          <w:sz w:val="22"/>
          <w:szCs w:val="22"/>
        </w:rPr>
      </w:pPr>
    </w:p>
    <w:p w14:paraId="04C1A28B" w14:textId="4C77AA95" w:rsidR="00275DE4" w:rsidRDefault="00275DE4" w:rsidP="00275DE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Pr="00CB351C">
        <w:rPr>
          <w:b/>
          <w:bCs/>
          <w:sz w:val="22"/>
          <w:szCs w:val="22"/>
        </w:rPr>
        <w:t xml:space="preserve">. Diğer Hususlar: </w:t>
      </w:r>
    </w:p>
    <w:p w14:paraId="3900A558" w14:textId="77777777" w:rsidR="00275DE4" w:rsidRPr="00CB351C" w:rsidRDefault="00275DE4" w:rsidP="001A3502">
      <w:pPr>
        <w:pStyle w:val="Default"/>
        <w:jc w:val="both"/>
        <w:rPr>
          <w:sz w:val="22"/>
          <w:szCs w:val="22"/>
        </w:rPr>
      </w:pPr>
    </w:p>
    <w:p w14:paraId="5A293195" w14:textId="2C9E9FE5" w:rsidR="001B65DE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Pr="00CB351C">
        <w:rPr>
          <w:sz w:val="22"/>
          <w:szCs w:val="22"/>
        </w:rPr>
        <w:t xml:space="preserve">5510 sayılı Sosyal Sigortalar ve Genel Sağlık Sigortası Kanunu hükümlerine göre </w:t>
      </w:r>
      <w:r w:rsidR="00530088">
        <w:rPr>
          <w:sz w:val="22"/>
          <w:szCs w:val="22"/>
        </w:rPr>
        <w:t xml:space="preserve">Kastamonu </w:t>
      </w:r>
      <w:r w:rsidRPr="00CB351C">
        <w:rPr>
          <w:sz w:val="22"/>
          <w:szCs w:val="22"/>
        </w:rPr>
        <w:t xml:space="preserve">Üniversitesi tarafından ödenir. Bu sözleşmede yer almayan hususlar hakkında </w:t>
      </w:r>
      <w:r w:rsidR="00530088">
        <w:rPr>
          <w:sz w:val="22"/>
          <w:szCs w:val="22"/>
        </w:rPr>
        <w:t xml:space="preserve">Kastamonu </w:t>
      </w:r>
      <w:r w:rsidRPr="00CB351C">
        <w:rPr>
          <w:sz w:val="22"/>
          <w:szCs w:val="22"/>
        </w:rPr>
        <w:t xml:space="preserve">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14:paraId="795FF844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71C4526B" w14:textId="09245F63" w:rsidR="00310B6A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="00530088">
        <w:rPr>
          <w:sz w:val="22"/>
          <w:szCs w:val="22"/>
        </w:rPr>
        <w:t xml:space="preserve">Kastamonu </w:t>
      </w:r>
      <w:r w:rsidRPr="00CB351C">
        <w:rPr>
          <w:sz w:val="22"/>
          <w:szCs w:val="22"/>
        </w:rPr>
        <w:t xml:space="preserve">Üniversitesi </w:t>
      </w:r>
      <w:r w:rsidR="002C745F" w:rsidRPr="00CB351C">
        <w:rPr>
          <w:sz w:val="22"/>
          <w:szCs w:val="22"/>
        </w:rPr>
        <w:t xml:space="preserve">İşletmede Mesleki Eğitim </w:t>
      </w:r>
      <w:r w:rsidRPr="00CB351C">
        <w:rPr>
          <w:sz w:val="22"/>
          <w:szCs w:val="22"/>
        </w:rPr>
        <w:t>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2C745F" w:rsidRPr="00CB351C">
        <w:rPr>
          <w:sz w:val="22"/>
          <w:szCs w:val="22"/>
        </w:rPr>
        <w:t xml:space="preserve">İşletmede Mesleki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14:paraId="536C11C2" w14:textId="77777777" w:rsidR="00CE3F02" w:rsidRPr="00CB351C" w:rsidRDefault="00CE3F02" w:rsidP="001A3502">
      <w:pPr>
        <w:pStyle w:val="Default"/>
        <w:jc w:val="both"/>
        <w:rPr>
          <w:sz w:val="22"/>
          <w:szCs w:val="22"/>
        </w:rPr>
      </w:pPr>
    </w:p>
    <w:p w14:paraId="34D15AF6" w14:textId="0CAAC808" w:rsidR="00076F9F" w:rsidRDefault="00076F9F" w:rsidP="001A3502">
      <w:pPr>
        <w:pStyle w:val="Default"/>
        <w:jc w:val="both"/>
        <w:rPr>
          <w:sz w:val="22"/>
          <w:szCs w:val="22"/>
        </w:rPr>
      </w:pPr>
    </w:p>
    <w:p w14:paraId="0EC894E7" w14:textId="0C80BB1B" w:rsidR="009F471B" w:rsidRDefault="009F471B" w:rsidP="001A3502">
      <w:pPr>
        <w:pStyle w:val="Default"/>
        <w:jc w:val="both"/>
        <w:rPr>
          <w:sz w:val="22"/>
          <w:szCs w:val="22"/>
        </w:rPr>
      </w:pPr>
    </w:p>
    <w:p w14:paraId="4196B7F4" w14:textId="5B07E602" w:rsidR="009F471B" w:rsidRDefault="009F471B" w:rsidP="001A3502">
      <w:pPr>
        <w:pStyle w:val="Default"/>
        <w:jc w:val="both"/>
        <w:rPr>
          <w:sz w:val="22"/>
          <w:szCs w:val="22"/>
        </w:rPr>
      </w:pPr>
    </w:p>
    <w:p w14:paraId="18784281" w14:textId="66E7ADE5" w:rsidR="009F471B" w:rsidRDefault="009F471B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44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547"/>
        <w:gridCol w:w="2409"/>
        <w:gridCol w:w="2635"/>
      </w:tblGrid>
      <w:tr w:rsidR="009F471B" w:rsidRPr="00CB351C" w14:paraId="5A56AE28" w14:textId="77777777" w:rsidTr="009F471B">
        <w:trPr>
          <w:trHeight w:val="295"/>
        </w:trPr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3712B620" w14:textId="2EE9E563" w:rsidR="009F471B" w:rsidRPr="009F471B" w:rsidRDefault="009F471B" w:rsidP="009F471B">
            <w:pPr>
              <w:pStyle w:val="Default"/>
              <w:jc w:val="center"/>
              <w:rPr>
                <w:sz w:val="22"/>
                <w:szCs w:val="22"/>
              </w:rPr>
            </w:pPr>
            <w:r w:rsidRPr="00CB351C">
              <w:rPr>
                <w:sz w:val="22"/>
                <w:szCs w:val="22"/>
              </w:rPr>
              <w:t xml:space="preserve">…/…/20… 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vAlign w:val="center"/>
          </w:tcPr>
          <w:p w14:paraId="63E1A950" w14:textId="4E459AF1" w:rsidR="009F471B" w:rsidRPr="00662F45" w:rsidRDefault="009F471B" w:rsidP="00662F45">
            <w:pPr>
              <w:pStyle w:val="Default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CB351C">
              <w:rPr>
                <w:sz w:val="22"/>
                <w:szCs w:val="22"/>
              </w:rPr>
              <w:t>…/…/20…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vAlign w:val="center"/>
          </w:tcPr>
          <w:p w14:paraId="63294B09" w14:textId="2F77EDB5" w:rsidR="009F471B" w:rsidRPr="00662F45" w:rsidRDefault="009F471B" w:rsidP="00662F45">
            <w:pPr>
              <w:pStyle w:val="Default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CB351C">
              <w:rPr>
                <w:sz w:val="22"/>
                <w:szCs w:val="22"/>
              </w:rPr>
              <w:t>…/…/20…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vAlign w:val="center"/>
          </w:tcPr>
          <w:p w14:paraId="42308477" w14:textId="4D94D37A" w:rsidR="009F471B" w:rsidRPr="00662F45" w:rsidRDefault="009F471B" w:rsidP="00662F45">
            <w:pPr>
              <w:pStyle w:val="Default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CB351C">
              <w:rPr>
                <w:sz w:val="22"/>
                <w:szCs w:val="22"/>
              </w:rPr>
              <w:t>…/…/20…</w:t>
            </w:r>
          </w:p>
        </w:tc>
      </w:tr>
      <w:tr w:rsidR="009F471B" w:rsidRPr="00CB351C" w14:paraId="2A7B57B4" w14:textId="77777777" w:rsidTr="009F471B">
        <w:trPr>
          <w:trHeight w:val="1021"/>
        </w:trPr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6588" w14:textId="315D9B3B" w:rsidR="009F471B" w:rsidRPr="009F471B" w:rsidRDefault="009F471B" w:rsidP="009F471B">
            <w:pPr>
              <w:pStyle w:val="Default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F471B">
              <w:rPr>
                <w:color w:val="D9D9D9" w:themeColor="background1" w:themeShade="D9"/>
                <w:sz w:val="20"/>
                <w:szCs w:val="20"/>
              </w:rPr>
              <w:t>İmza</w:t>
            </w:r>
          </w:p>
        </w:tc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30E44" w14:textId="6881944E" w:rsidR="009F471B" w:rsidRPr="009F471B" w:rsidRDefault="009F471B" w:rsidP="009F471B">
            <w:pPr>
              <w:pStyle w:val="Default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F471B">
              <w:rPr>
                <w:color w:val="D9D9D9" w:themeColor="background1" w:themeShade="D9"/>
                <w:sz w:val="20"/>
                <w:szCs w:val="20"/>
              </w:rPr>
              <w:t>İmza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1D8E" w14:textId="30F3F371" w:rsidR="009F471B" w:rsidRPr="009F471B" w:rsidRDefault="009F471B" w:rsidP="009F471B">
            <w:pPr>
              <w:pStyle w:val="Default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F471B">
              <w:rPr>
                <w:color w:val="D9D9D9" w:themeColor="background1" w:themeShade="D9"/>
                <w:sz w:val="20"/>
                <w:szCs w:val="20"/>
              </w:rPr>
              <w:t>İmza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703D8" w14:textId="6137301C" w:rsidR="009F471B" w:rsidRPr="009F471B" w:rsidRDefault="009F471B" w:rsidP="009F471B">
            <w:pPr>
              <w:pStyle w:val="Default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F471B">
              <w:rPr>
                <w:color w:val="D9D9D9" w:themeColor="background1" w:themeShade="D9"/>
                <w:sz w:val="20"/>
                <w:szCs w:val="20"/>
              </w:rPr>
              <w:t>İmza</w:t>
            </w:r>
          </w:p>
        </w:tc>
      </w:tr>
      <w:tr w:rsidR="009F471B" w:rsidRPr="00CB351C" w14:paraId="4BA71085" w14:textId="77777777" w:rsidTr="009F471B">
        <w:trPr>
          <w:trHeight w:val="646"/>
        </w:trPr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14:paraId="58E04CE3" w14:textId="77777777" w:rsidR="009F471B" w:rsidRPr="00662F45" w:rsidRDefault="009F471B" w:rsidP="009F471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F471B">
              <w:rPr>
                <w:color w:val="D9D9D9" w:themeColor="background1" w:themeShade="D9"/>
                <w:sz w:val="18"/>
                <w:szCs w:val="18"/>
              </w:rPr>
              <w:t>Adı Soyadı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vAlign w:val="center"/>
          </w:tcPr>
          <w:p w14:paraId="2FF278A8" w14:textId="4E23724A" w:rsidR="009F471B" w:rsidRPr="00662F45" w:rsidRDefault="009F471B" w:rsidP="009F471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F471B">
              <w:rPr>
                <w:color w:val="D9D9D9" w:themeColor="background1" w:themeShade="D9"/>
                <w:sz w:val="18"/>
                <w:szCs w:val="18"/>
              </w:rPr>
              <w:t>Adı Soyadı</w:t>
            </w:r>
          </w:p>
        </w:tc>
        <w:tc>
          <w:tcPr>
            <w:tcW w:w="1239" w:type="pct"/>
            <w:tcBorders>
              <w:top w:val="single" w:sz="4" w:space="0" w:color="auto"/>
            </w:tcBorders>
            <w:vAlign w:val="center"/>
          </w:tcPr>
          <w:p w14:paraId="16E4BBA3" w14:textId="19CEFA77" w:rsidR="009F471B" w:rsidRPr="009F471B" w:rsidRDefault="009F471B" w:rsidP="009F471B">
            <w:pPr>
              <w:pStyle w:val="Default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F471B">
              <w:rPr>
                <w:color w:val="D9D9D9" w:themeColor="background1" w:themeShade="D9"/>
                <w:sz w:val="18"/>
                <w:szCs w:val="18"/>
              </w:rPr>
              <w:t>Adı Soyadı</w:t>
            </w:r>
          </w:p>
        </w:tc>
        <w:tc>
          <w:tcPr>
            <w:tcW w:w="1355" w:type="pct"/>
            <w:tcBorders>
              <w:top w:val="single" w:sz="4" w:space="0" w:color="auto"/>
            </w:tcBorders>
            <w:vAlign w:val="center"/>
          </w:tcPr>
          <w:p w14:paraId="040B96DB" w14:textId="1D3D8B99" w:rsidR="009F471B" w:rsidRPr="009F471B" w:rsidRDefault="009F471B" w:rsidP="009F471B">
            <w:pPr>
              <w:pStyle w:val="Default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662F45">
              <w:rPr>
                <w:color w:val="auto"/>
                <w:sz w:val="18"/>
                <w:szCs w:val="18"/>
              </w:rPr>
              <w:t>Prof. Dr. İzzet ŞENER</w:t>
            </w:r>
          </w:p>
        </w:tc>
      </w:tr>
      <w:tr w:rsidR="009F471B" w:rsidRPr="00CB351C" w14:paraId="7C9DD676" w14:textId="77777777" w:rsidTr="009F471B">
        <w:trPr>
          <w:trHeight w:val="919"/>
        </w:trPr>
        <w:tc>
          <w:tcPr>
            <w:tcW w:w="1096" w:type="pct"/>
            <w:vAlign w:val="center"/>
          </w:tcPr>
          <w:p w14:paraId="6331AAA9" w14:textId="7BD2F74C" w:rsidR="009F471B" w:rsidRPr="00662F45" w:rsidRDefault="009F471B" w:rsidP="009F471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62F45">
              <w:rPr>
                <w:color w:val="auto"/>
                <w:sz w:val="20"/>
                <w:szCs w:val="20"/>
              </w:rPr>
              <w:t>Öğrenci</w:t>
            </w:r>
          </w:p>
        </w:tc>
        <w:tc>
          <w:tcPr>
            <w:tcW w:w="1310" w:type="pct"/>
            <w:vAlign w:val="center"/>
          </w:tcPr>
          <w:p w14:paraId="036D0843" w14:textId="40E467AF" w:rsidR="009F471B" w:rsidRPr="00662F45" w:rsidRDefault="009F471B" w:rsidP="009F471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62F45">
              <w:rPr>
                <w:color w:val="auto"/>
                <w:sz w:val="20"/>
                <w:szCs w:val="20"/>
              </w:rPr>
              <w:t>Bölüm İşletmede Mesleki Eğitim Komisyo</w:t>
            </w:r>
            <w:bookmarkStart w:id="0" w:name="_GoBack"/>
            <w:bookmarkEnd w:id="0"/>
            <w:r w:rsidRPr="00662F45">
              <w:rPr>
                <w:color w:val="auto"/>
                <w:sz w:val="20"/>
                <w:szCs w:val="20"/>
              </w:rPr>
              <w:t>nu Başkanı</w:t>
            </w:r>
          </w:p>
        </w:tc>
        <w:tc>
          <w:tcPr>
            <w:tcW w:w="1239" w:type="pct"/>
            <w:vAlign w:val="center"/>
          </w:tcPr>
          <w:p w14:paraId="346B547D" w14:textId="77777777" w:rsidR="009F471B" w:rsidRDefault="009F471B" w:rsidP="009F471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….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Tic. San. A.Ş</w:t>
            </w:r>
          </w:p>
          <w:p w14:paraId="586E3AEF" w14:textId="14950E2A" w:rsidR="009F471B" w:rsidRPr="00662F45" w:rsidRDefault="009F471B" w:rsidP="009F471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662F45">
              <w:rPr>
                <w:color w:val="auto"/>
                <w:sz w:val="20"/>
                <w:szCs w:val="20"/>
              </w:rPr>
              <w:t>İşletme Yetkilisi</w:t>
            </w:r>
          </w:p>
        </w:tc>
        <w:tc>
          <w:tcPr>
            <w:tcW w:w="1355" w:type="pct"/>
            <w:vAlign w:val="center"/>
          </w:tcPr>
          <w:p w14:paraId="735A26D8" w14:textId="77777777" w:rsidR="009F471B" w:rsidRDefault="009F471B" w:rsidP="009F471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62F45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>ekan</w:t>
            </w:r>
            <w:r w:rsidRPr="00662F45">
              <w:rPr>
                <w:color w:val="auto"/>
                <w:sz w:val="20"/>
                <w:szCs w:val="20"/>
              </w:rPr>
              <w:t xml:space="preserve"> </w:t>
            </w:r>
          </w:p>
          <w:p w14:paraId="5D2135DC" w14:textId="278D509C" w:rsidR="009F471B" w:rsidRPr="00662F45" w:rsidRDefault="009F471B" w:rsidP="009F471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62F45">
              <w:rPr>
                <w:color w:val="auto"/>
                <w:sz w:val="20"/>
                <w:szCs w:val="20"/>
              </w:rPr>
              <w:t>Kastamonu Üniversitesi</w:t>
            </w:r>
          </w:p>
          <w:p w14:paraId="08E2B747" w14:textId="421B52E0" w:rsidR="009F471B" w:rsidRPr="009F471B" w:rsidRDefault="009F471B" w:rsidP="009F471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62F45">
              <w:rPr>
                <w:color w:val="auto"/>
                <w:sz w:val="20"/>
                <w:szCs w:val="20"/>
              </w:rPr>
              <w:t>Mühendislik ve Mimarlık Fakültesi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E396B7F" w14:textId="77777777" w:rsidR="00076F9F" w:rsidRPr="00CB351C" w:rsidRDefault="00076F9F" w:rsidP="00D03786">
      <w:pPr>
        <w:pStyle w:val="Default"/>
        <w:jc w:val="both"/>
        <w:rPr>
          <w:sz w:val="22"/>
          <w:szCs w:val="22"/>
        </w:rPr>
      </w:pPr>
    </w:p>
    <w:sectPr w:rsidR="00076F9F" w:rsidRPr="00CB351C" w:rsidSect="004645AF">
      <w:headerReference w:type="default" r:id="rId8"/>
      <w:footerReference w:type="default" r:id="rId9"/>
      <w:pgSz w:w="11906" w:h="16838"/>
      <w:pgMar w:top="568" w:right="1134" w:bottom="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A705C" w14:textId="77777777" w:rsidR="00F70279" w:rsidRDefault="00F70279" w:rsidP="00E1416E">
      <w:pPr>
        <w:spacing w:after="0" w:line="240" w:lineRule="auto"/>
      </w:pPr>
      <w:r>
        <w:separator/>
      </w:r>
    </w:p>
  </w:endnote>
  <w:endnote w:type="continuationSeparator" w:id="0">
    <w:p w14:paraId="1436C9F1" w14:textId="77777777" w:rsidR="00F70279" w:rsidRDefault="00F70279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16644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91F7A" w14:textId="6605BBDE" w:rsidR="00D2292A" w:rsidRPr="00D2292A" w:rsidRDefault="00D2292A">
            <w:pPr>
              <w:pStyle w:val="AltBilg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292A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D22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22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22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F7C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22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2292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22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22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22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F7C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22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1203D2" w14:textId="77777777" w:rsidR="00E1416E" w:rsidRDefault="00E14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73B5C" w14:textId="77777777" w:rsidR="00F70279" w:rsidRDefault="00F70279" w:rsidP="00E1416E">
      <w:pPr>
        <w:spacing w:after="0" w:line="240" w:lineRule="auto"/>
      </w:pPr>
      <w:r>
        <w:separator/>
      </w:r>
    </w:p>
  </w:footnote>
  <w:footnote w:type="continuationSeparator" w:id="0">
    <w:p w14:paraId="5DC0282D" w14:textId="77777777" w:rsidR="00F70279" w:rsidRDefault="00F70279" w:rsidP="00E1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2C180" w14:textId="336CA94D" w:rsidR="004645AF" w:rsidRPr="004645AF" w:rsidRDefault="004645AF" w:rsidP="004645AF">
    <w:pPr>
      <w:pStyle w:val="stBilgi"/>
      <w:jc w:val="right"/>
      <w:rPr>
        <w:rFonts w:ascii="Times New Roman" w:hAnsi="Times New Roman" w:cs="Times New Roman"/>
        <w:sz w:val="20"/>
      </w:rPr>
    </w:pPr>
    <w:r w:rsidRPr="004645AF">
      <w:rPr>
        <w:rFonts w:ascii="Times New Roman" w:hAnsi="Times New Roman" w:cs="Times New Roman"/>
        <w:sz w:val="20"/>
      </w:rPr>
      <w:t>Form_3_İME Sözleşmesi</w:t>
    </w:r>
  </w:p>
  <w:p w14:paraId="2EBCCD67" w14:textId="77777777" w:rsidR="004645AF" w:rsidRDefault="004645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6A"/>
    <w:rsid w:val="0000238A"/>
    <w:rsid w:val="000049B5"/>
    <w:rsid w:val="00076F9F"/>
    <w:rsid w:val="0007739D"/>
    <w:rsid w:val="000B308B"/>
    <w:rsid w:val="001525D4"/>
    <w:rsid w:val="00153F6A"/>
    <w:rsid w:val="00166A61"/>
    <w:rsid w:val="00174D4E"/>
    <w:rsid w:val="001A3502"/>
    <w:rsid w:val="001B4532"/>
    <w:rsid w:val="001B65DE"/>
    <w:rsid w:val="001C19D3"/>
    <w:rsid w:val="00243AAC"/>
    <w:rsid w:val="00246227"/>
    <w:rsid w:val="0025119D"/>
    <w:rsid w:val="002532AB"/>
    <w:rsid w:val="00275DE4"/>
    <w:rsid w:val="002B2615"/>
    <w:rsid w:val="002C245E"/>
    <w:rsid w:val="002C745F"/>
    <w:rsid w:val="002E78A1"/>
    <w:rsid w:val="003102D5"/>
    <w:rsid w:val="00310B6A"/>
    <w:rsid w:val="0036223D"/>
    <w:rsid w:val="00383383"/>
    <w:rsid w:val="003C73FD"/>
    <w:rsid w:val="003F2195"/>
    <w:rsid w:val="00403F11"/>
    <w:rsid w:val="0040518B"/>
    <w:rsid w:val="00410DDA"/>
    <w:rsid w:val="00416058"/>
    <w:rsid w:val="00443B79"/>
    <w:rsid w:val="00454CC7"/>
    <w:rsid w:val="00454FA8"/>
    <w:rsid w:val="004645AF"/>
    <w:rsid w:val="00470740"/>
    <w:rsid w:val="0047402C"/>
    <w:rsid w:val="004B50FF"/>
    <w:rsid w:val="00530088"/>
    <w:rsid w:val="005430F9"/>
    <w:rsid w:val="00592A2A"/>
    <w:rsid w:val="005B4B40"/>
    <w:rsid w:val="005D5D5C"/>
    <w:rsid w:val="005E3B24"/>
    <w:rsid w:val="005F436E"/>
    <w:rsid w:val="00626A00"/>
    <w:rsid w:val="0063388E"/>
    <w:rsid w:val="00662F45"/>
    <w:rsid w:val="00663B2A"/>
    <w:rsid w:val="00687D97"/>
    <w:rsid w:val="006A2AD3"/>
    <w:rsid w:val="006B3034"/>
    <w:rsid w:val="006E3BD9"/>
    <w:rsid w:val="006F551E"/>
    <w:rsid w:val="00761796"/>
    <w:rsid w:val="0076539E"/>
    <w:rsid w:val="00766496"/>
    <w:rsid w:val="007C4133"/>
    <w:rsid w:val="00814CDA"/>
    <w:rsid w:val="008454C4"/>
    <w:rsid w:val="00891C3A"/>
    <w:rsid w:val="00895AFE"/>
    <w:rsid w:val="008A37BA"/>
    <w:rsid w:val="008B472D"/>
    <w:rsid w:val="008C6FEA"/>
    <w:rsid w:val="009109A7"/>
    <w:rsid w:val="00912377"/>
    <w:rsid w:val="00921CB5"/>
    <w:rsid w:val="00950D45"/>
    <w:rsid w:val="009F44C3"/>
    <w:rsid w:val="009F471B"/>
    <w:rsid w:val="00A1690C"/>
    <w:rsid w:val="00A4601B"/>
    <w:rsid w:val="00A777CF"/>
    <w:rsid w:val="00AC2BA7"/>
    <w:rsid w:val="00AF7C50"/>
    <w:rsid w:val="00B27F34"/>
    <w:rsid w:val="00B534E0"/>
    <w:rsid w:val="00B73B96"/>
    <w:rsid w:val="00BA0820"/>
    <w:rsid w:val="00BB799F"/>
    <w:rsid w:val="00BC0F78"/>
    <w:rsid w:val="00BE1688"/>
    <w:rsid w:val="00C03D3E"/>
    <w:rsid w:val="00C52ADF"/>
    <w:rsid w:val="00CB351C"/>
    <w:rsid w:val="00CC7660"/>
    <w:rsid w:val="00CE3F02"/>
    <w:rsid w:val="00D01C0A"/>
    <w:rsid w:val="00D03786"/>
    <w:rsid w:val="00D1665B"/>
    <w:rsid w:val="00D2292A"/>
    <w:rsid w:val="00DC60B8"/>
    <w:rsid w:val="00DD5228"/>
    <w:rsid w:val="00DE1B9F"/>
    <w:rsid w:val="00DE2BDB"/>
    <w:rsid w:val="00DF67B3"/>
    <w:rsid w:val="00E1416E"/>
    <w:rsid w:val="00E34D51"/>
    <w:rsid w:val="00E34F9F"/>
    <w:rsid w:val="00F00B81"/>
    <w:rsid w:val="00F70279"/>
    <w:rsid w:val="00F96A52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534EE"/>
  <w15:chartTrackingRefBased/>
  <w15:docId w15:val="{2001E815-C268-487A-90C9-B253A8D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DELL_PC</cp:lastModifiedBy>
  <cp:revision>7</cp:revision>
  <cp:lastPrinted>2022-01-11T14:33:00Z</cp:lastPrinted>
  <dcterms:created xsi:type="dcterms:W3CDTF">2022-01-08T13:27:00Z</dcterms:created>
  <dcterms:modified xsi:type="dcterms:W3CDTF">2022-01-12T06:26:00Z</dcterms:modified>
</cp:coreProperties>
</file>